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B7" w:rsidRDefault="001F56B7" w:rsidP="001F56B7">
      <w:pPr>
        <w:pStyle w:val="Heading2"/>
        <w:rPr>
          <w:rFonts w:eastAsia="Arial"/>
          <w:lang w:val="en-US"/>
        </w:rPr>
      </w:pPr>
      <w:r>
        <w:rPr>
          <w:noProof/>
          <w:lang w:eastAsia="en-GB"/>
        </w:rPr>
        <w:drawing>
          <wp:inline distT="0" distB="0" distL="0" distR="0" wp14:anchorId="2C0D52C1" wp14:editId="162C8B03">
            <wp:extent cx="2196935" cy="5492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DD9DD9" wp14:editId="61FD6AAB">
            <wp:simplePos x="0" y="0"/>
            <wp:positionH relativeFrom="column">
              <wp:posOffset>7629525</wp:posOffset>
            </wp:positionH>
            <wp:positionV relativeFrom="paragraph">
              <wp:posOffset>207010</wp:posOffset>
            </wp:positionV>
            <wp:extent cx="752475" cy="304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B7" w:rsidRPr="00EC78EC" w:rsidRDefault="001F56B7" w:rsidP="001F56B7">
      <w:pPr>
        <w:pStyle w:val="Heading2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>Do you meet the London a</w:t>
      </w:r>
      <w:r w:rsidRPr="00EC78EC">
        <w:rPr>
          <w:rFonts w:ascii="Arial" w:eastAsia="Arial" w:hAnsi="Arial" w:cs="Arial"/>
          <w:sz w:val="28"/>
          <w:szCs w:val="28"/>
          <w:lang w:val="en-US"/>
        </w:rPr>
        <w:t xml:space="preserve">sthma standards for children and young people: </w:t>
      </w:r>
      <w:r>
        <w:rPr>
          <w:rFonts w:ascii="Arial" w:eastAsia="Arial" w:hAnsi="Arial" w:cs="Arial"/>
          <w:sz w:val="28"/>
          <w:szCs w:val="28"/>
          <w:lang w:val="en-US"/>
        </w:rPr>
        <w:t>Schools?</w:t>
      </w:r>
    </w:p>
    <w:p w:rsidR="001F56B7" w:rsidRPr="00EC78EC" w:rsidRDefault="001F56B7" w:rsidP="001F56B7">
      <w:pPr>
        <w:rPr>
          <w:lang w:val="en-US"/>
        </w:rPr>
      </w:pPr>
    </w:p>
    <w:p w:rsidR="001F56B7" w:rsidRPr="00EC78EC" w:rsidRDefault="001F56B7" w:rsidP="001F56B7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C78EC">
        <w:rPr>
          <w:rFonts w:eastAsia="FrutigerLTStd-Light" w:cs="Arial"/>
          <w:color w:val="414142"/>
        </w:rPr>
        <w:t xml:space="preserve">All organisations/services* must have a named </w:t>
      </w:r>
      <w:r w:rsidRPr="00EC78EC">
        <w:rPr>
          <w:rFonts w:eastAsia="FrutigerLTStd-Light" w:cs="Arial"/>
          <w:b/>
          <w:bCs/>
          <w:color w:val="414142"/>
        </w:rPr>
        <w:t xml:space="preserve">lead responsible and accountable for asthma </w:t>
      </w:r>
      <w:r w:rsidRPr="00EC78EC">
        <w:rPr>
          <w:rFonts w:eastAsia="FrutigerLTStd-Light" w:cs="Arial"/>
          <w:color w:val="414142"/>
        </w:rPr>
        <w:t>(which</w:t>
      </w:r>
      <w:r>
        <w:rPr>
          <w:rFonts w:eastAsia="FrutigerLTStd-Light" w:cs="Arial"/>
          <w:color w:val="414142"/>
        </w:rPr>
        <w:t xml:space="preserve"> </w:t>
      </w:r>
      <w:r w:rsidRPr="00EC78EC">
        <w:rPr>
          <w:rFonts w:eastAsia="FrutigerLTStd-Light" w:cs="Arial"/>
          <w:color w:val="414142"/>
        </w:rPr>
        <w:t>includes children and young people (CYP)).</w:t>
      </w:r>
      <w:r>
        <w:rPr>
          <w:rFonts w:eastAsia="FrutigerLTStd-Light" w:cs="Arial"/>
          <w:color w:val="414142"/>
        </w:rPr>
        <w:t xml:space="preserve"> They must also all meet the organisational standards (No 1-7) and patient family and support information provision and experience (No 9-13).  Please also the see the workforce education and training standards that are applicable to the setting (No 38-42)</w:t>
      </w:r>
    </w:p>
    <w:p w:rsidR="001C42E4" w:rsidRDefault="001C42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6155"/>
        <w:gridCol w:w="5907"/>
        <w:gridCol w:w="1134"/>
      </w:tblGrid>
      <w:tr w:rsidR="00220B6F" w:rsidTr="001F56B7">
        <w:tc>
          <w:tcPr>
            <w:tcW w:w="520" w:type="dxa"/>
            <w:shd w:val="clear" w:color="auto" w:fill="B8CCE4" w:themeFill="accent1" w:themeFillTint="66"/>
          </w:tcPr>
          <w:p w:rsidR="00220B6F" w:rsidRPr="00220B6F" w:rsidRDefault="001F56B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155" w:type="dxa"/>
            <w:shd w:val="clear" w:color="auto" w:fill="B8CCE4" w:themeFill="accent1" w:themeFillTint="66"/>
          </w:tcPr>
          <w:p w:rsidR="00220B6F" w:rsidRPr="00220B6F" w:rsidRDefault="00220B6F" w:rsidP="00220B6F">
            <w:pPr>
              <w:rPr>
                <w:b/>
              </w:rPr>
            </w:pPr>
            <w:r w:rsidRPr="00220B6F">
              <w:rPr>
                <w:b/>
              </w:rPr>
              <w:t>Standard</w:t>
            </w:r>
            <w:r w:rsidRPr="00220B6F">
              <w:rPr>
                <w:b/>
              </w:rPr>
              <w:tab/>
            </w:r>
          </w:p>
          <w:p w:rsidR="00220B6F" w:rsidRPr="00220B6F" w:rsidRDefault="00220B6F" w:rsidP="00220B6F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B8CCE4" w:themeFill="accent1" w:themeFillTint="66"/>
          </w:tcPr>
          <w:p w:rsidR="00220B6F" w:rsidRPr="00220B6F" w:rsidRDefault="0002529C" w:rsidP="00220B6F">
            <w:pPr>
              <w:rPr>
                <w:b/>
              </w:rPr>
            </w:pPr>
            <w:r>
              <w:rPr>
                <w:b/>
              </w:rPr>
              <w:t>Evidence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B8CCE4" w:themeFill="accent1" w:themeFillTint="66"/>
          </w:tcPr>
          <w:p w:rsidR="00F7094D" w:rsidRDefault="00220B6F" w:rsidP="00220B6F">
            <w:pPr>
              <w:rPr>
                <w:b/>
              </w:rPr>
            </w:pPr>
            <w:r w:rsidRPr="00220B6F">
              <w:rPr>
                <w:b/>
              </w:rPr>
              <w:t>Met</w:t>
            </w:r>
          </w:p>
          <w:p w:rsidR="00220B6F" w:rsidRPr="00220B6F" w:rsidRDefault="00220B6F" w:rsidP="00F7094D">
            <w:pPr>
              <w:rPr>
                <w:b/>
              </w:rPr>
            </w:pPr>
            <w:r w:rsidRPr="00F7094D">
              <w:rPr>
                <w:b/>
                <w:sz w:val="16"/>
                <w:szCs w:val="16"/>
              </w:rPr>
              <w:t>(Yes /No)</w:t>
            </w:r>
          </w:p>
        </w:tc>
      </w:tr>
      <w:tr w:rsidR="00220B6F" w:rsidTr="00F7094D">
        <w:tc>
          <w:tcPr>
            <w:tcW w:w="520" w:type="dxa"/>
          </w:tcPr>
          <w:p w:rsidR="00220B6F" w:rsidRDefault="00220B6F">
            <w:r>
              <w:t>11</w:t>
            </w:r>
          </w:p>
        </w:tc>
        <w:tc>
          <w:tcPr>
            <w:tcW w:w="6155" w:type="dxa"/>
          </w:tcPr>
          <w:p w:rsidR="00220B6F" w:rsidRDefault="00220B6F" w:rsidP="00220B6F">
            <w:r>
              <w:t xml:space="preserve">CYP and their families receive </w:t>
            </w:r>
            <w:r w:rsidRPr="001F56B7">
              <w:rPr>
                <w:b/>
              </w:rPr>
              <w:t>sufficient information, education and support</w:t>
            </w:r>
            <w:r>
              <w:t xml:space="preserve"> to encourage and enable them to participate actively in all aspects of their care and decision making.</w:t>
            </w:r>
          </w:p>
          <w:p w:rsidR="00220B6F" w:rsidRDefault="00220B6F" w:rsidP="00220B6F">
            <w:r>
              <w:t>This means information is tailored to their needs in an accessible format (</w:t>
            </w:r>
            <w:proofErr w:type="spellStart"/>
            <w:r>
              <w:t>eg</w:t>
            </w:r>
            <w:proofErr w:type="spellEnd"/>
            <w:r>
              <w:t xml:space="preserve"> written information may use pictures, symbols, large print, Braille and different languages) throughout the care pathway extending into schools and community settings.</w:t>
            </w:r>
          </w:p>
        </w:tc>
        <w:tc>
          <w:tcPr>
            <w:tcW w:w="5907" w:type="dxa"/>
          </w:tcPr>
          <w:p w:rsidR="00F7094D" w:rsidRPr="00F7094D" w:rsidRDefault="00F7094D" w:rsidP="00F7094D">
            <w:r w:rsidRPr="00F7094D">
              <w:t>Portfolio of available information.</w:t>
            </w:r>
          </w:p>
          <w:p w:rsidR="00220B6F" w:rsidRDefault="00F7094D" w:rsidP="00F7094D">
            <w:r>
              <w:rPr>
                <w:rFonts w:cs="Arial"/>
              </w:rPr>
              <w:t>A</w:t>
            </w:r>
            <w:r w:rsidRPr="00F7094D">
              <w:t>vailable support documentation.</w:t>
            </w:r>
          </w:p>
        </w:tc>
        <w:tc>
          <w:tcPr>
            <w:tcW w:w="1134" w:type="dxa"/>
          </w:tcPr>
          <w:p w:rsidR="00220B6F" w:rsidRDefault="00220B6F"/>
        </w:tc>
      </w:tr>
      <w:tr w:rsidR="00220B6F" w:rsidTr="00F7094D">
        <w:tc>
          <w:tcPr>
            <w:tcW w:w="520" w:type="dxa"/>
          </w:tcPr>
          <w:p w:rsidR="00220B6F" w:rsidRDefault="00F7094D">
            <w:r>
              <w:t>17</w:t>
            </w:r>
          </w:p>
        </w:tc>
        <w:tc>
          <w:tcPr>
            <w:tcW w:w="6155" w:type="dxa"/>
          </w:tcPr>
          <w:p w:rsidR="00220B6F" w:rsidRDefault="00220B6F" w:rsidP="00220B6F">
            <w:r>
              <w:t xml:space="preserve">Clear effective </w:t>
            </w:r>
            <w:r w:rsidRPr="001F56B7">
              <w:rPr>
                <w:b/>
              </w:rPr>
              <w:t>partnership arrangements are in place between health, education and local authorities</w:t>
            </w:r>
            <w:r>
              <w:t xml:space="preserve"> for management of children and young people with asthma within primary and secondary schools (Asthma friendly schools programmes).</w:t>
            </w:r>
          </w:p>
          <w:p w:rsidR="00220B6F" w:rsidRDefault="00220B6F" w:rsidP="00220B6F">
            <w:r>
              <w:t xml:space="preserve">This includes the adoption of government policy on emergency inhalers and early </w:t>
            </w:r>
            <w:proofErr w:type="gramStart"/>
            <w:r>
              <w:t>years</w:t>
            </w:r>
            <w:proofErr w:type="gramEnd"/>
            <w:r>
              <w:t xml:space="preserve"> settings such as children’s centres having access to education programmes for the </w:t>
            </w:r>
            <w:proofErr w:type="spellStart"/>
            <w:r>
              <w:t>wheezers</w:t>
            </w:r>
            <w:proofErr w:type="spellEnd"/>
            <w:r>
              <w:t>.</w:t>
            </w:r>
          </w:p>
        </w:tc>
        <w:tc>
          <w:tcPr>
            <w:tcW w:w="5907" w:type="dxa"/>
          </w:tcPr>
          <w:p w:rsidR="00F7094D" w:rsidRPr="00F7094D" w:rsidRDefault="00F7094D" w:rsidP="00F7094D">
            <w:r w:rsidRPr="00F7094D">
              <w:t>Joint policy between CCG and local authority for the improvement of asthma care</w:t>
            </w:r>
            <w:r>
              <w:t xml:space="preserve"> </w:t>
            </w:r>
            <w:r w:rsidRPr="00F7094D">
              <w:t>in primary and secondary schools.</w:t>
            </w:r>
          </w:p>
          <w:p w:rsidR="00F7094D" w:rsidRDefault="00F7094D" w:rsidP="00F7094D">
            <w:r w:rsidRPr="00F7094D">
              <w:t>Education programme f</w:t>
            </w:r>
            <w:r>
              <w:t>or staff, students and parents.</w:t>
            </w:r>
          </w:p>
          <w:p w:rsidR="00220B6F" w:rsidRDefault="00F7094D" w:rsidP="00F7094D">
            <w:r w:rsidRPr="00F7094D">
              <w:t>Directory of updated asthma leads shared between organisations.</w:t>
            </w:r>
          </w:p>
        </w:tc>
        <w:tc>
          <w:tcPr>
            <w:tcW w:w="1134" w:type="dxa"/>
          </w:tcPr>
          <w:p w:rsidR="00220B6F" w:rsidRDefault="00220B6F"/>
        </w:tc>
      </w:tr>
      <w:tr w:rsidR="00220B6F" w:rsidTr="00F7094D">
        <w:tc>
          <w:tcPr>
            <w:tcW w:w="520" w:type="dxa"/>
          </w:tcPr>
          <w:p w:rsidR="00220B6F" w:rsidRDefault="00F7094D">
            <w:r>
              <w:t>18</w:t>
            </w:r>
          </w:p>
        </w:tc>
        <w:tc>
          <w:tcPr>
            <w:tcW w:w="6155" w:type="dxa"/>
          </w:tcPr>
          <w:p w:rsidR="00F7094D" w:rsidRDefault="00F7094D" w:rsidP="00F7094D">
            <w:r>
              <w:t xml:space="preserve">CYP have an </w:t>
            </w:r>
            <w:r w:rsidRPr="001F56B7">
              <w:rPr>
                <w:b/>
              </w:rPr>
              <w:t>individual healthcare /action plan</w:t>
            </w:r>
            <w:r>
              <w:t xml:space="preserve"> in place.</w:t>
            </w:r>
          </w:p>
          <w:p w:rsidR="00F7094D" w:rsidRDefault="00F7094D" w:rsidP="00F7094D">
            <w:r>
              <w:lastRenderedPageBreak/>
              <w:t>The school has in place:</w:t>
            </w:r>
          </w:p>
          <w:p w:rsidR="00F7094D" w:rsidRDefault="00F7094D" w:rsidP="00F7094D">
            <w:pPr>
              <w:pStyle w:val="ListParagraph"/>
              <w:numPr>
                <w:ilvl w:val="0"/>
                <w:numId w:val="2"/>
              </w:numPr>
            </w:pPr>
            <w:r w:rsidRPr="001F56B7">
              <w:rPr>
                <w:b/>
              </w:rPr>
              <w:t>Register</w:t>
            </w:r>
            <w:r>
              <w:t xml:space="preserve"> of all CYP with asthma.</w:t>
            </w:r>
          </w:p>
          <w:p w:rsidR="00F7094D" w:rsidRDefault="00F7094D" w:rsidP="00F7094D">
            <w:pPr>
              <w:pStyle w:val="ListParagraph"/>
              <w:numPr>
                <w:ilvl w:val="0"/>
                <w:numId w:val="2"/>
              </w:numPr>
            </w:pPr>
            <w:r w:rsidRPr="001F56B7">
              <w:rPr>
                <w:b/>
              </w:rPr>
              <w:t>Management plan</w:t>
            </w:r>
            <w:r>
              <w:t xml:space="preserve"> for each child.</w:t>
            </w:r>
          </w:p>
          <w:p w:rsidR="00F7094D" w:rsidRDefault="00F7094D" w:rsidP="00F7094D">
            <w:pPr>
              <w:pStyle w:val="ListParagraph"/>
              <w:numPr>
                <w:ilvl w:val="0"/>
                <w:numId w:val="2"/>
              </w:numPr>
            </w:pPr>
            <w:r w:rsidRPr="001F56B7">
              <w:rPr>
                <w:b/>
              </w:rPr>
              <w:t xml:space="preserve">Named individual </w:t>
            </w:r>
            <w:r>
              <w:t>responsible for asthma in school.</w:t>
            </w:r>
          </w:p>
          <w:p w:rsidR="00F7094D" w:rsidRDefault="00F7094D" w:rsidP="00F7094D">
            <w:pPr>
              <w:pStyle w:val="ListParagraph"/>
              <w:numPr>
                <w:ilvl w:val="0"/>
                <w:numId w:val="2"/>
              </w:numPr>
            </w:pPr>
            <w:r>
              <w:t>Policy for inhaler techniques and care of the CYP with asthma.</w:t>
            </w:r>
          </w:p>
          <w:p w:rsidR="00F7094D" w:rsidRDefault="00F7094D" w:rsidP="00F7094D">
            <w:pPr>
              <w:pStyle w:val="ListParagraph"/>
              <w:numPr>
                <w:ilvl w:val="0"/>
                <w:numId w:val="2"/>
              </w:numPr>
            </w:pPr>
            <w:r w:rsidRPr="001F56B7">
              <w:rPr>
                <w:b/>
              </w:rPr>
              <w:t xml:space="preserve">Policy </w:t>
            </w:r>
            <w:r>
              <w:t>regarding emergency treatment.</w:t>
            </w:r>
          </w:p>
          <w:p w:rsidR="00220B6F" w:rsidRDefault="00F7094D" w:rsidP="00F7094D">
            <w:pPr>
              <w:pStyle w:val="ListParagraph"/>
              <w:numPr>
                <w:ilvl w:val="0"/>
                <w:numId w:val="2"/>
              </w:numPr>
            </w:pPr>
            <w:r w:rsidRPr="001F56B7">
              <w:rPr>
                <w:b/>
              </w:rPr>
              <w:t xml:space="preserve">System </w:t>
            </w:r>
            <w:r>
              <w:t>for identifying children who are missing school because of their asthma or who</w:t>
            </w:r>
            <w:r w:rsidR="00967C54">
              <w:t xml:space="preserve"> </w:t>
            </w:r>
            <w:r w:rsidR="00967C54" w:rsidRPr="00220B6F">
              <w:t>are not partaking in sports / other activities due to poor control</w:t>
            </w:r>
          </w:p>
        </w:tc>
        <w:tc>
          <w:tcPr>
            <w:tcW w:w="5907" w:type="dxa"/>
          </w:tcPr>
          <w:p w:rsidR="00F7094D" w:rsidRDefault="00F7094D" w:rsidP="00F7094D">
            <w:r>
              <w:lastRenderedPageBreak/>
              <w:t>Up to date register of children in school with asthma.</w:t>
            </w:r>
          </w:p>
          <w:p w:rsidR="00F7094D" w:rsidRDefault="00F7094D" w:rsidP="00F7094D">
            <w:r>
              <w:lastRenderedPageBreak/>
              <w:t>Individual management plans for CYP.</w:t>
            </w:r>
          </w:p>
          <w:p w:rsidR="00F7094D" w:rsidRDefault="00F7094D" w:rsidP="00F7094D">
            <w:r>
              <w:t>Named individual’s job plan / roles and responsibilities state asthma.</w:t>
            </w:r>
          </w:p>
          <w:p w:rsidR="00F7094D" w:rsidRDefault="00F7094D" w:rsidP="00F7094D">
            <w:r>
              <w:t>Policies for management of CYP with asthma, emergency procedures / treatment</w:t>
            </w:r>
          </w:p>
          <w:p w:rsidR="00F7094D" w:rsidRDefault="00F7094D" w:rsidP="00F7094D">
            <w:proofErr w:type="gramStart"/>
            <w:r>
              <w:t>and</w:t>
            </w:r>
            <w:proofErr w:type="gramEnd"/>
            <w:r>
              <w:t xml:space="preserve"> inhalers in schools.</w:t>
            </w:r>
          </w:p>
          <w:p w:rsidR="00F7094D" w:rsidRDefault="00F7094D" w:rsidP="00F7094D">
            <w:r>
              <w:t>Audit of absenteeism monitoring.</w:t>
            </w:r>
          </w:p>
          <w:p w:rsidR="00F7094D" w:rsidRDefault="00F7094D" w:rsidP="00F7094D">
            <w:r>
              <w:t>Audit of asthma care and prevalence across schools.</w:t>
            </w:r>
          </w:p>
          <w:p w:rsidR="00F7094D" w:rsidRDefault="00F7094D" w:rsidP="00F7094D">
            <w:r>
              <w:t>Whole school approach to training.</w:t>
            </w:r>
          </w:p>
          <w:p w:rsidR="00220B6F" w:rsidRDefault="00F7094D" w:rsidP="00F7094D">
            <w:r>
              <w:t>Directory of local asthma leads and contact details.</w:t>
            </w:r>
          </w:p>
        </w:tc>
        <w:tc>
          <w:tcPr>
            <w:tcW w:w="1134" w:type="dxa"/>
          </w:tcPr>
          <w:p w:rsidR="00220B6F" w:rsidRDefault="00220B6F"/>
        </w:tc>
      </w:tr>
      <w:tr w:rsidR="00F7094D" w:rsidTr="00F7094D">
        <w:tc>
          <w:tcPr>
            <w:tcW w:w="520" w:type="dxa"/>
          </w:tcPr>
          <w:p w:rsidR="00F7094D" w:rsidRDefault="00F7094D">
            <w:r>
              <w:lastRenderedPageBreak/>
              <w:t>39</w:t>
            </w:r>
          </w:p>
        </w:tc>
        <w:tc>
          <w:tcPr>
            <w:tcW w:w="6155" w:type="dxa"/>
          </w:tcPr>
          <w:p w:rsidR="00F7094D" w:rsidRDefault="00F7094D" w:rsidP="00F7094D">
            <w:r>
              <w:t xml:space="preserve">Children and young people have contact with healthcare professionals who have received </w:t>
            </w:r>
            <w:r w:rsidRPr="00F7094D">
              <w:rPr>
                <w:b/>
              </w:rPr>
              <w:t xml:space="preserve">appropriate training and ongoing education </w:t>
            </w:r>
            <w:r>
              <w:t>in paediatric asthma with appropriate updating at least every three years, including access to a specialist paediatric nurse with asthma diploma</w:t>
            </w:r>
          </w:p>
          <w:p w:rsidR="00F7094D" w:rsidRDefault="00F7094D" w:rsidP="00F7094D">
            <w:proofErr w:type="gramStart"/>
            <w:r>
              <w:t>level</w:t>
            </w:r>
            <w:proofErr w:type="gramEnd"/>
            <w:r>
              <w:t xml:space="preserve"> training and CPD in paediatric asthma. This includes primary care and the wider MDT such as pharmacists, health visitors and </w:t>
            </w:r>
            <w:r w:rsidRPr="00F7094D">
              <w:rPr>
                <w:b/>
              </w:rPr>
              <w:t>schools.</w:t>
            </w:r>
          </w:p>
          <w:p w:rsidR="00F7094D" w:rsidRDefault="00F7094D" w:rsidP="00F7094D">
            <w:r>
              <w:t xml:space="preserve">At least one practice nurse in every practice or </w:t>
            </w:r>
            <w:r w:rsidRPr="00F7094D">
              <w:rPr>
                <w:b/>
              </w:rPr>
              <w:t>someone in every school is trained in managing</w:t>
            </w:r>
            <w:r>
              <w:rPr>
                <w:b/>
              </w:rPr>
              <w:t xml:space="preserve"> </w:t>
            </w:r>
            <w:r w:rsidRPr="00F7094D">
              <w:rPr>
                <w:b/>
              </w:rPr>
              <w:t>asthma</w:t>
            </w:r>
            <w:r>
              <w:t xml:space="preserve"> (</w:t>
            </w:r>
            <w:proofErr w:type="spellStart"/>
            <w:r>
              <w:t>ie</w:t>
            </w:r>
            <w:proofErr w:type="spellEnd"/>
            <w:r>
              <w:t xml:space="preserve"> holds a recognised certificate of competence, such as an asthma diploma), and has experience in supporting children with long term conditions</w:t>
            </w:r>
          </w:p>
        </w:tc>
        <w:tc>
          <w:tcPr>
            <w:tcW w:w="5907" w:type="dxa"/>
          </w:tcPr>
          <w:p w:rsidR="00F7094D" w:rsidRDefault="00F7094D" w:rsidP="00F7094D">
            <w:r>
              <w:t>Rotas and training and needs assessment undertaken</w:t>
            </w:r>
          </w:p>
          <w:p w:rsidR="00F7094D" w:rsidRDefault="00F7094D" w:rsidP="00F7094D">
            <w:r>
              <w:t>and action plan for training of current and future MDT</w:t>
            </w:r>
          </w:p>
          <w:p w:rsidR="00F7094D" w:rsidRDefault="00F7094D" w:rsidP="00F7094D">
            <w:proofErr w:type="gramStart"/>
            <w:r>
              <w:t>workforce</w:t>
            </w:r>
            <w:proofErr w:type="gramEnd"/>
            <w:r>
              <w:t>.</w:t>
            </w:r>
          </w:p>
          <w:p w:rsidR="00F7094D" w:rsidRDefault="00F7094D" w:rsidP="00F7094D">
            <w:r>
              <w:t>Continuing professional development and competency.</w:t>
            </w:r>
          </w:p>
        </w:tc>
        <w:tc>
          <w:tcPr>
            <w:tcW w:w="1134" w:type="dxa"/>
          </w:tcPr>
          <w:p w:rsidR="00F7094D" w:rsidRDefault="00F7094D"/>
        </w:tc>
      </w:tr>
    </w:tbl>
    <w:p w:rsidR="00220B6F" w:rsidRDefault="00220B6F"/>
    <w:sectPr w:rsidR="00220B6F" w:rsidSect="00F709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03"/>
    <w:multiLevelType w:val="hybridMultilevel"/>
    <w:tmpl w:val="1B9E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A6022"/>
    <w:multiLevelType w:val="hybridMultilevel"/>
    <w:tmpl w:val="9904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2D"/>
    <w:rsid w:val="0002529C"/>
    <w:rsid w:val="001C42E4"/>
    <w:rsid w:val="001F56B7"/>
    <w:rsid w:val="00220B6F"/>
    <w:rsid w:val="00967C54"/>
    <w:rsid w:val="00DA122D"/>
    <w:rsid w:val="00F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2D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9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2D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9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E805-F271-499F-B3D8-CCA6274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5</cp:revision>
  <dcterms:created xsi:type="dcterms:W3CDTF">2016-06-15T08:46:00Z</dcterms:created>
  <dcterms:modified xsi:type="dcterms:W3CDTF">2016-06-16T15:16:00Z</dcterms:modified>
</cp:coreProperties>
</file>