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EC" w:rsidRDefault="00EC78EC" w:rsidP="00EC78EC">
      <w:pPr>
        <w:pStyle w:val="Heading2"/>
        <w:rPr>
          <w:rFonts w:eastAsia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417D1F87" wp14:editId="782F52C9">
            <wp:extent cx="2196935" cy="549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93CEFE" wp14:editId="6278A7FC">
            <wp:simplePos x="0" y="0"/>
            <wp:positionH relativeFrom="column">
              <wp:posOffset>7629525</wp:posOffset>
            </wp:positionH>
            <wp:positionV relativeFrom="paragraph">
              <wp:posOffset>207010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22D" w:rsidRPr="00EC78EC" w:rsidRDefault="001A3C31" w:rsidP="00EC78EC">
      <w:pPr>
        <w:pStyle w:val="Heading2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Do you meet the </w:t>
      </w:r>
      <w:r w:rsidR="00DA122D" w:rsidRPr="00EC78EC">
        <w:rPr>
          <w:rFonts w:ascii="Arial" w:eastAsia="Arial" w:hAnsi="Arial" w:cs="Arial"/>
          <w:sz w:val="28"/>
          <w:szCs w:val="28"/>
          <w:lang w:val="en-US"/>
        </w:rPr>
        <w:t xml:space="preserve">London Asthma standards for children and young people: </w:t>
      </w:r>
      <w:r w:rsidR="00210BFC">
        <w:rPr>
          <w:rFonts w:ascii="Arial" w:eastAsia="Arial" w:hAnsi="Arial" w:cs="Arial"/>
          <w:sz w:val="28"/>
          <w:szCs w:val="28"/>
          <w:lang w:val="en-US"/>
        </w:rPr>
        <w:t>Out of Hospital Care</w:t>
      </w:r>
      <w:r>
        <w:rPr>
          <w:rFonts w:ascii="Arial" w:eastAsia="Arial" w:hAnsi="Arial" w:cs="Arial"/>
          <w:sz w:val="28"/>
          <w:szCs w:val="28"/>
          <w:lang w:val="en-US"/>
        </w:rPr>
        <w:t>?</w:t>
      </w:r>
    </w:p>
    <w:p w:rsidR="00EC78EC" w:rsidRPr="00EC78EC" w:rsidRDefault="00EC78EC" w:rsidP="00EC78EC">
      <w:pPr>
        <w:rPr>
          <w:lang w:val="en-US"/>
        </w:rPr>
      </w:pPr>
    </w:p>
    <w:p w:rsidR="00EC78EC" w:rsidRPr="00EC78EC" w:rsidRDefault="00EC78EC" w:rsidP="00EC78EC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C78EC">
        <w:rPr>
          <w:rFonts w:eastAsia="FrutigerLTStd-Light" w:cs="Arial"/>
          <w:color w:val="414142"/>
        </w:rPr>
        <w:t xml:space="preserve">All organisations/services* must have a named </w:t>
      </w:r>
      <w:r w:rsidRPr="00EC78EC">
        <w:rPr>
          <w:rFonts w:eastAsia="FrutigerLTStd-Light" w:cs="Arial"/>
          <w:b/>
          <w:bCs/>
          <w:color w:val="414142"/>
        </w:rPr>
        <w:t xml:space="preserve">lead responsible and accountable for asthma </w:t>
      </w:r>
      <w:r w:rsidRPr="00EC78EC">
        <w:rPr>
          <w:rFonts w:eastAsia="FrutigerLTStd-Light" w:cs="Arial"/>
          <w:color w:val="414142"/>
        </w:rPr>
        <w:t>(which</w:t>
      </w:r>
      <w:r>
        <w:rPr>
          <w:rFonts w:eastAsia="FrutigerLTStd-Light" w:cs="Arial"/>
          <w:color w:val="414142"/>
        </w:rPr>
        <w:t xml:space="preserve"> </w:t>
      </w:r>
      <w:r w:rsidRPr="00EC78EC">
        <w:rPr>
          <w:rFonts w:eastAsia="FrutigerLTStd-Light" w:cs="Arial"/>
          <w:color w:val="414142"/>
        </w:rPr>
        <w:t>includes children and young people (CYP)).</w:t>
      </w:r>
      <w:r>
        <w:rPr>
          <w:rFonts w:eastAsia="FrutigerLTStd-Light" w:cs="Arial"/>
          <w:color w:val="414142"/>
        </w:rPr>
        <w:t xml:space="preserve"> They must also all meet the organisational standards </w:t>
      </w:r>
      <w:r w:rsidR="00A33B66">
        <w:rPr>
          <w:rFonts w:eastAsia="FrutigerLTStd-Light" w:cs="Arial"/>
          <w:color w:val="414142"/>
        </w:rPr>
        <w:t>(</w:t>
      </w:r>
      <w:r>
        <w:rPr>
          <w:rFonts w:eastAsia="FrutigerLTStd-Light" w:cs="Arial"/>
          <w:color w:val="414142"/>
        </w:rPr>
        <w:t>No 1-7</w:t>
      </w:r>
      <w:r w:rsidR="00A33B66">
        <w:rPr>
          <w:rFonts w:eastAsia="FrutigerLTStd-Light" w:cs="Arial"/>
          <w:color w:val="414142"/>
        </w:rPr>
        <w:t>)</w:t>
      </w:r>
      <w:r>
        <w:rPr>
          <w:rFonts w:eastAsia="FrutigerLTStd-Light" w:cs="Arial"/>
          <w:color w:val="414142"/>
        </w:rPr>
        <w:t xml:space="preserve"> and patient family and support information provision and experience </w:t>
      </w:r>
      <w:r w:rsidR="00A33B66">
        <w:rPr>
          <w:rFonts w:eastAsia="FrutigerLTStd-Light" w:cs="Arial"/>
          <w:color w:val="414142"/>
        </w:rPr>
        <w:t>(</w:t>
      </w:r>
      <w:r>
        <w:rPr>
          <w:rFonts w:eastAsia="FrutigerLTStd-Light" w:cs="Arial"/>
          <w:color w:val="414142"/>
        </w:rPr>
        <w:t>No 9-13</w:t>
      </w:r>
      <w:r w:rsidR="00A33B66">
        <w:rPr>
          <w:rFonts w:eastAsia="FrutigerLTStd-Light" w:cs="Arial"/>
          <w:color w:val="414142"/>
        </w:rPr>
        <w:t>)</w:t>
      </w:r>
      <w:r>
        <w:rPr>
          <w:rFonts w:eastAsia="FrutigerLTStd-Light" w:cs="Arial"/>
          <w:color w:val="414142"/>
        </w:rPr>
        <w:t xml:space="preserve">.  Please also the see the workforce education and training standards that are applicable to the setting </w:t>
      </w:r>
      <w:r w:rsidR="00A33B66">
        <w:rPr>
          <w:rFonts w:eastAsia="FrutigerLTStd-Light" w:cs="Arial"/>
          <w:color w:val="414142"/>
        </w:rPr>
        <w:t>(</w:t>
      </w:r>
      <w:r>
        <w:rPr>
          <w:rFonts w:eastAsia="FrutigerLTStd-Light" w:cs="Arial"/>
          <w:color w:val="414142"/>
        </w:rPr>
        <w:t>No 38-42</w:t>
      </w:r>
      <w:r w:rsidR="00A33B66">
        <w:rPr>
          <w:rFonts w:eastAsia="FrutigerLTStd-Light" w:cs="Arial"/>
          <w:color w:val="414142"/>
        </w:rPr>
        <w:t>)</w:t>
      </w:r>
      <w:r w:rsidR="00150E89">
        <w:rPr>
          <w:rFonts w:eastAsia="FrutigerLTStd-Light" w:cs="Arial"/>
          <w:color w:val="414142"/>
        </w:rPr>
        <w:t>.</w:t>
      </w:r>
    </w:p>
    <w:p w:rsidR="001C42E4" w:rsidRDefault="001C4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6155"/>
        <w:gridCol w:w="5907"/>
        <w:gridCol w:w="1134"/>
      </w:tblGrid>
      <w:tr w:rsidR="00220B6F" w:rsidTr="00150E89">
        <w:tc>
          <w:tcPr>
            <w:tcW w:w="520" w:type="dxa"/>
            <w:shd w:val="clear" w:color="auto" w:fill="B8CCE4" w:themeFill="accent1" w:themeFillTint="66"/>
          </w:tcPr>
          <w:p w:rsidR="00220B6F" w:rsidRPr="00220B6F" w:rsidRDefault="00150E8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155" w:type="dxa"/>
            <w:shd w:val="clear" w:color="auto" w:fill="B8CCE4" w:themeFill="accent1" w:themeFillTint="66"/>
          </w:tcPr>
          <w:p w:rsidR="00220B6F" w:rsidRPr="00220B6F" w:rsidRDefault="00220B6F" w:rsidP="00220B6F">
            <w:pPr>
              <w:rPr>
                <w:b/>
              </w:rPr>
            </w:pPr>
            <w:r w:rsidRPr="00220B6F">
              <w:rPr>
                <w:b/>
              </w:rPr>
              <w:t>Standard</w:t>
            </w:r>
            <w:r w:rsidRPr="00220B6F">
              <w:rPr>
                <w:b/>
              </w:rPr>
              <w:tab/>
            </w:r>
          </w:p>
          <w:p w:rsidR="00220B6F" w:rsidRPr="00220B6F" w:rsidRDefault="00220B6F" w:rsidP="00220B6F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B8CCE4" w:themeFill="accent1" w:themeFillTint="66"/>
          </w:tcPr>
          <w:p w:rsidR="00220B6F" w:rsidRPr="00220B6F" w:rsidRDefault="001A3C31" w:rsidP="00220B6F">
            <w:pPr>
              <w:rPr>
                <w:b/>
              </w:rPr>
            </w:pPr>
            <w:r>
              <w:rPr>
                <w:b/>
              </w:rPr>
              <w:t>Evidence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8CCE4" w:themeFill="accent1" w:themeFillTint="66"/>
          </w:tcPr>
          <w:p w:rsidR="00F7094D" w:rsidRDefault="00220B6F" w:rsidP="00220B6F">
            <w:pPr>
              <w:rPr>
                <w:b/>
              </w:rPr>
            </w:pPr>
            <w:r w:rsidRPr="00220B6F">
              <w:rPr>
                <w:b/>
              </w:rPr>
              <w:t>Met</w:t>
            </w:r>
          </w:p>
          <w:p w:rsidR="00220B6F" w:rsidRPr="00220B6F" w:rsidRDefault="00220B6F" w:rsidP="00F7094D">
            <w:pPr>
              <w:rPr>
                <w:b/>
              </w:rPr>
            </w:pPr>
            <w:r w:rsidRPr="00F7094D">
              <w:rPr>
                <w:b/>
                <w:sz w:val="16"/>
                <w:szCs w:val="16"/>
              </w:rPr>
              <w:t>(Yes /No)</w:t>
            </w:r>
          </w:p>
        </w:tc>
      </w:tr>
      <w:tr w:rsidR="008F6262" w:rsidTr="00F7094D"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14 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NICE Statement 1: People with newly </w:t>
            </w:r>
            <w:r w:rsidRPr="0079598A">
              <w:rPr>
                <w:rFonts w:cs="Arial"/>
                <w:b/>
                <w:bCs/>
                <w:sz w:val="20"/>
                <w:szCs w:val="20"/>
              </w:rPr>
              <w:t>diagnosed asthma are diagnosed in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proofErr w:type="gramStart"/>
            <w:r w:rsidRPr="0079598A">
              <w:rPr>
                <w:rFonts w:cs="Arial"/>
                <w:b/>
                <w:bCs/>
                <w:sz w:val="20"/>
                <w:szCs w:val="20"/>
              </w:rPr>
              <w:t>accordance</w:t>
            </w:r>
            <w:proofErr w:type="gramEnd"/>
            <w:r w:rsidRPr="0079598A">
              <w:rPr>
                <w:rFonts w:cs="Arial"/>
                <w:b/>
                <w:bCs/>
                <w:sz w:val="20"/>
                <w:szCs w:val="20"/>
              </w:rPr>
              <w:t xml:space="preserve"> with BTS/SIGN13 and NICE34 guidance</w:t>
            </w:r>
            <w:r w:rsidRPr="0079598A">
              <w:rPr>
                <w:rFonts w:cs="Arial"/>
                <w:sz w:val="20"/>
                <w:szCs w:val="20"/>
              </w:rPr>
              <w:t>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Evidence of local arrangements to ensure people with newly diagnosed asthma are diagnosed in accordance with BTS/SIGN guidance, and that the process is documented in their patient notes.</w:t>
            </w:r>
          </w:p>
        </w:tc>
        <w:tc>
          <w:tcPr>
            <w:tcW w:w="1134" w:type="dxa"/>
          </w:tcPr>
          <w:p w:rsidR="008F6262" w:rsidRDefault="008F6262" w:rsidP="008F6262"/>
        </w:tc>
      </w:tr>
      <w:tr w:rsidR="008F6262" w:rsidTr="00F7094D"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People with asthma who present with respiratory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 xml:space="preserve">symptoms receive an </w:t>
            </w:r>
            <w:r w:rsidRPr="0079598A">
              <w:rPr>
                <w:rFonts w:cs="Arial"/>
                <w:b/>
                <w:bCs/>
                <w:sz w:val="20"/>
                <w:szCs w:val="20"/>
              </w:rPr>
              <w:t>assessment of their asthma control</w:t>
            </w:r>
            <w:r w:rsidRPr="00795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Evidence of local arrangements to ensure people with asthma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presenting with respiratory symptoms receive an assessment of their asthma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proofErr w:type="gramStart"/>
            <w:r w:rsidRPr="0079598A">
              <w:rPr>
                <w:rFonts w:cs="Arial"/>
                <w:sz w:val="20"/>
                <w:szCs w:val="20"/>
              </w:rPr>
              <w:t>control</w:t>
            </w:r>
            <w:proofErr w:type="gramEnd"/>
            <w:r w:rsidRPr="0079598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F6262" w:rsidRDefault="008F6262" w:rsidP="008F6262"/>
        </w:tc>
      </w:tr>
      <w:tr w:rsidR="008F6262" w:rsidTr="00F7094D"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People who received treatment in hospital or through out-of-hours services for an acute exacerbation of asthma or wheezy episode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proofErr w:type="gramStart"/>
            <w:r w:rsidRPr="0079598A">
              <w:rPr>
                <w:rFonts w:cs="Arial"/>
                <w:sz w:val="20"/>
                <w:szCs w:val="20"/>
              </w:rPr>
              <w:t>are</w:t>
            </w:r>
            <w:proofErr w:type="gramEnd"/>
            <w:r w:rsidRPr="0079598A"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b/>
                <w:bCs/>
                <w:sz w:val="20"/>
                <w:szCs w:val="20"/>
              </w:rPr>
              <w:t>followed up by their own GP practice within two working days 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b/>
                <w:bCs/>
                <w:sz w:val="20"/>
                <w:szCs w:val="20"/>
              </w:rPr>
              <w:t>less</w:t>
            </w:r>
            <w:r w:rsidRPr="0079598A">
              <w:rPr>
                <w:rFonts w:cs="Arial"/>
                <w:sz w:val="20"/>
                <w:szCs w:val="20"/>
              </w:rPr>
              <w:t xml:space="preserve"> of treatment.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If required secondary care follow up is provided within </w:t>
            </w:r>
            <w:r w:rsidRPr="008F6262">
              <w:rPr>
                <w:rFonts w:cs="Arial"/>
                <w:b/>
                <w:sz w:val="20"/>
                <w:szCs w:val="20"/>
              </w:rPr>
              <w:t>one month</w:t>
            </w:r>
            <w:r w:rsidRPr="0079598A">
              <w:rPr>
                <w:rFonts w:cs="Arial"/>
                <w:sz w:val="20"/>
                <w:szCs w:val="20"/>
              </w:rPr>
              <w:t xml:space="preserve"> for every child admitted with asthma and for patients who have attended the emergency department two or more times in the past 12 months.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a) Evidence of local arrangements and systems put in place to ensure people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>who received treatment in hospital or through out-of-hours services for 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>acute exacerbation of asthma are followed up by their own GP practice within 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>working days of treatment.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b) Evidence of local arrangements to ensure effective communication between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>secondary care centres (such as hospitals and out-of-hours services) and primary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>care.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262" w:rsidRDefault="008F6262" w:rsidP="008F6262"/>
        </w:tc>
      </w:tr>
      <w:tr w:rsidR="008F6262" w:rsidTr="00F7094D"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There are agreed </w:t>
            </w:r>
            <w:r w:rsidRPr="0079598A">
              <w:rPr>
                <w:rFonts w:cs="Arial"/>
                <w:b/>
                <w:bCs/>
                <w:sz w:val="20"/>
                <w:szCs w:val="20"/>
              </w:rPr>
              <w:t xml:space="preserve">effective, integrated pathways to ensure the smooth transition between healthcare settings </w:t>
            </w:r>
            <w:r w:rsidRPr="0079598A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79598A">
              <w:rPr>
                <w:rFonts w:cs="Arial"/>
                <w:sz w:val="20"/>
                <w:szCs w:val="20"/>
              </w:rPr>
              <w:t>ie</w:t>
            </w:r>
            <w:proofErr w:type="spellEnd"/>
            <w:r w:rsidRPr="0079598A">
              <w:rPr>
                <w:rFonts w:cs="Arial"/>
                <w:sz w:val="20"/>
                <w:szCs w:val="20"/>
              </w:rPr>
              <w:t xml:space="preserve"> primary care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proofErr w:type="gramStart"/>
            <w:r w:rsidRPr="0079598A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79598A">
              <w:rPr>
                <w:rFonts w:cs="Arial"/>
                <w:sz w:val="20"/>
                <w:szCs w:val="20"/>
              </w:rPr>
              <w:t xml:space="preserve"> secondary or tertiary care). These include shared care, referral and discharge protocols between community and specialist and access to prompt specialist advice and help.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Shared care, referral and discharge pathways and policies. 6, 7, 10</w:t>
            </w:r>
          </w:p>
        </w:tc>
        <w:tc>
          <w:tcPr>
            <w:tcW w:w="1134" w:type="dxa"/>
          </w:tcPr>
          <w:p w:rsidR="008F6262" w:rsidRDefault="008F6262" w:rsidP="008F6262"/>
        </w:tc>
      </w:tr>
      <w:tr w:rsidR="008F6262" w:rsidTr="008F6262">
        <w:trPr>
          <w:trHeight w:val="558"/>
        </w:trPr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People with asthma receive a written p</w:t>
            </w:r>
            <w:r w:rsidRPr="0079598A">
              <w:rPr>
                <w:rFonts w:cs="Arial"/>
                <w:b/>
                <w:bCs/>
                <w:sz w:val="20"/>
                <w:szCs w:val="20"/>
              </w:rPr>
              <w:t xml:space="preserve">ersonalised action plan. </w:t>
            </w:r>
            <w:r w:rsidRPr="0079598A">
              <w:rPr>
                <w:rFonts w:cs="Arial"/>
                <w:sz w:val="20"/>
                <w:szCs w:val="20"/>
              </w:rPr>
              <w:t>(This should be age appropriate.)</w:t>
            </w: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Evidence of local arrangements to ensure people with asthma </w:t>
            </w:r>
            <w:proofErr w:type="gramStart"/>
            <w:r w:rsidRPr="0079598A">
              <w:rPr>
                <w:rFonts w:cs="Arial"/>
                <w:sz w:val="20"/>
                <w:szCs w:val="20"/>
              </w:rPr>
              <w:t>receive</w:t>
            </w:r>
            <w:proofErr w:type="gramEnd"/>
            <w:r w:rsidRPr="0079598A">
              <w:rPr>
                <w:rFonts w:cs="Arial"/>
                <w:sz w:val="20"/>
                <w:szCs w:val="20"/>
              </w:rPr>
              <w:t xml:space="preserve"> a written personalised action plan.</w:t>
            </w:r>
          </w:p>
        </w:tc>
        <w:tc>
          <w:tcPr>
            <w:tcW w:w="1134" w:type="dxa"/>
          </w:tcPr>
          <w:p w:rsidR="008F6262" w:rsidRDefault="008F6262" w:rsidP="008F6262"/>
        </w:tc>
      </w:tr>
      <w:tr w:rsidR="008F6262" w:rsidTr="00F7094D"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People with asthma receive a </w:t>
            </w:r>
            <w:r w:rsidRPr="008F6262">
              <w:rPr>
                <w:rFonts w:cs="Arial"/>
                <w:b/>
                <w:sz w:val="20"/>
                <w:szCs w:val="20"/>
              </w:rPr>
              <w:t>structured review</w:t>
            </w:r>
            <w:r w:rsidRPr="0079598A">
              <w:rPr>
                <w:rFonts w:cs="Arial"/>
                <w:sz w:val="20"/>
                <w:szCs w:val="20"/>
              </w:rPr>
              <w:t>* at least annually (preferably every three months, depending on severity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9598A">
              <w:rPr>
                <w:rFonts w:cs="Arial"/>
                <w:sz w:val="20"/>
                <w:szCs w:val="20"/>
              </w:rPr>
              <w:t xml:space="preserve">and clinical need). This must include understanding of their condition and treatment, assessment of adherence, inhaler technique and </w:t>
            </w:r>
            <w:r>
              <w:rPr>
                <w:rFonts w:cs="Arial"/>
                <w:sz w:val="20"/>
                <w:szCs w:val="20"/>
              </w:rPr>
              <w:t>c</w:t>
            </w:r>
            <w:r w:rsidRPr="0079598A">
              <w:rPr>
                <w:rFonts w:cs="Arial"/>
                <w:sz w:val="20"/>
                <w:szCs w:val="20"/>
              </w:rPr>
              <w:t>hildren’s ACT for those aged over four years.</w:t>
            </w: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Evidence of local arrangements to ensure people with asthma </w:t>
            </w:r>
            <w:proofErr w:type="gramStart"/>
            <w:r w:rsidRPr="0079598A">
              <w:rPr>
                <w:rFonts w:cs="Arial"/>
                <w:sz w:val="20"/>
                <w:szCs w:val="20"/>
              </w:rPr>
              <w:t>receive</w:t>
            </w:r>
            <w:proofErr w:type="gramEnd"/>
            <w:r w:rsidRPr="0079598A">
              <w:rPr>
                <w:rFonts w:cs="Arial"/>
                <w:sz w:val="20"/>
                <w:szCs w:val="20"/>
              </w:rPr>
              <w:t xml:space="preserve"> a proactive structured review at least annually.</w:t>
            </w:r>
          </w:p>
        </w:tc>
        <w:tc>
          <w:tcPr>
            <w:tcW w:w="1134" w:type="dxa"/>
          </w:tcPr>
          <w:p w:rsidR="008F6262" w:rsidRDefault="008F6262" w:rsidP="008F6262"/>
        </w:tc>
      </w:tr>
      <w:tr w:rsidR="008F6262" w:rsidTr="001A3C31">
        <w:trPr>
          <w:trHeight w:val="543"/>
        </w:trPr>
        <w:tc>
          <w:tcPr>
            <w:tcW w:w="520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6155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There is a system to </w:t>
            </w:r>
            <w:r w:rsidRPr="008F6262">
              <w:rPr>
                <w:rFonts w:cs="Arial"/>
                <w:b/>
                <w:sz w:val="20"/>
                <w:szCs w:val="20"/>
              </w:rPr>
              <w:t>communicate the name of the responsible</w:t>
            </w:r>
            <w:r w:rsidRPr="0079598A">
              <w:rPr>
                <w:rFonts w:cs="Arial"/>
                <w:sz w:val="20"/>
                <w:szCs w:val="20"/>
              </w:rPr>
              <w:t xml:space="preserve"> lead / link person caring for child to patients and families.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 </w:t>
            </w:r>
          </w:p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 xml:space="preserve"> </w:t>
            </w:r>
          </w:p>
        </w:tc>
        <w:tc>
          <w:tcPr>
            <w:tcW w:w="5907" w:type="dxa"/>
          </w:tcPr>
          <w:p w:rsidR="008F6262" w:rsidRPr="0079598A" w:rsidRDefault="008F6262" w:rsidP="008F6262">
            <w:pPr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Monitored on a case by case basis.</w:t>
            </w:r>
          </w:p>
          <w:p w:rsidR="008F6262" w:rsidRPr="0079598A" w:rsidRDefault="008F6262" w:rsidP="008F6262">
            <w:pPr>
              <w:ind w:left="742" w:hanging="742"/>
              <w:rPr>
                <w:rFonts w:cs="Arial"/>
                <w:sz w:val="20"/>
                <w:szCs w:val="20"/>
              </w:rPr>
            </w:pPr>
            <w:r w:rsidRPr="0079598A">
              <w:rPr>
                <w:rFonts w:cs="Arial"/>
                <w:sz w:val="20"/>
                <w:szCs w:val="20"/>
              </w:rPr>
              <w:t>Audit of CYP to see if they know who their link person is.</w:t>
            </w:r>
          </w:p>
        </w:tc>
        <w:tc>
          <w:tcPr>
            <w:tcW w:w="1134" w:type="dxa"/>
          </w:tcPr>
          <w:p w:rsidR="008F6262" w:rsidRDefault="008F6262" w:rsidP="008F6262"/>
        </w:tc>
      </w:tr>
    </w:tbl>
    <w:p w:rsidR="00EC78EC" w:rsidRDefault="00EC78EC"/>
    <w:sectPr w:rsidR="00EC78EC" w:rsidSect="00EC78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03"/>
    <w:multiLevelType w:val="hybridMultilevel"/>
    <w:tmpl w:val="1B9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6022"/>
    <w:multiLevelType w:val="hybridMultilevel"/>
    <w:tmpl w:val="9904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2D"/>
    <w:rsid w:val="00150E89"/>
    <w:rsid w:val="001A3C31"/>
    <w:rsid w:val="001C42E4"/>
    <w:rsid w:val="00210BFC"/>
    <w:rsid w:val="00220B6F"/>
    <w:rsid w:val="003B5E5E"/>
    <w:rsid w:val="008F6262"/>
    <w:rsid w:val="00967C54"/>
    <w:rsid w:val="00A33B66"/>
    <w:rsid w:val="00DA122D"/>
    <w:rsid w:val="00EC78EC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7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7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C4B3-4A0C-45EB-B4F5-C1812111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Nelson</dc:creator>
  <cp:lastModifiedBy>Sara Nelson</cp:lastModifiedBy>
  <cp:revision>7</cp:revision>
  <dcterms:created xsi:type="dcterms:W3CDTF">2016-06-16T08:40:00Z</dcterms:created>
  <dcterms:modified xsi:type="dcterms:W3CDTF">2016-06-16T15:15:00Z</dcterms:modified>
</cp:coreProperties>
</file>